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60" w:type="dxa"/>
        <w:tblInd w:w="103" w:type="dxa"/>
        <w:tblLook w:val="04A0"/>
      </w:tblPr>
      <w:tblGrid>
        <w:gridCol w:w="1080"/>
        <w:gridCol w:w="2200"/>
        <w:gridCol w:w="1080"/>
        <w:gridCol w:w="1080"/>
        <w:gridCol w:w="1080"/>
        <w:gridCol w:w="1540"/>
      </w:tblGrid>
      <w:tr w:rsidR="0057077C" w:rsidRPr="0057077C" w:rsidTr="0057077C">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7077C" w:rsidRPr="0057077C" w:rsidRDefault="0057077C" w:rsidP="0057077C">
            <w:pPr>
              <w:widowControl/>
              <w:jc w:val="center"/>
              <w:rPr>
                <w:rFonts w:ascii="楷体" w:eastAsia="楷体" w:hAnsi="楷体" w:cs="宋体"/>
                <w:color w:val="000000"/>
                <w:kern w:val="0"/>
                <w:sz w:val="24"/>
                <w:szCs w:val="24"/>
              </w:rPr>
            </w:pPr>
            <w:r w:rsidRPr="0057077C">
              <w:rPr>
                <w:rFonts w:ascii="楷体" w:eastAsia="楷体" w:hAnsi="楷体" w:cs="宋体" w:hint="eastAsia"/>
                <w:color w:val="000000"/>
                <w:kern w:val="0"/>
                <w:sz w:val="44"/>
                <w:szCs w:val="44"/>
              </w:rPr>
              <w:t>通惠期货</w:t>
            </w:r>
            <w:r w:rsidRPr="0057077C">
              <w:rPr>
                <w:rFonts w:ascii="楷体" w:eastAsia="楷体" w:hAnsi="楷体" w:cs="宋体" w:hint="eastAsia"/>
                <w:color w:val="000000"/>
                <w:kern w:val="0"/>
                <w:sz w:val="24"/>
                <w:szCs w:val="24"/>
              </w:rPr>
              <w:br/>
              <w:t>棉花日报2017.3.1</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涨跌幅（%）</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CC Index328</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15963</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15963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新疆</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河南</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山东</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湖北</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浙江</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德州棉花（美分/磅）</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86.25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85.75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0.6%</w:t>
            </w:r>
          </w:p>
        </w:tc>
      </w:tr>
      <w:tr w:rsidR="0057077C" w:rsidRPr="0057077C" w:rsidTr="0057077C">
        <w:trPr>
          <w:trHeight w:val="54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印度Shankar-6（美分/磅）</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0.6%</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Cot A</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85.15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0.55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0.7%</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CF1705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15955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15845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110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0.7%</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CF1709</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16350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16265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85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0.5%</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CF1801</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16620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16560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0.4%</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美棉主连</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76.28</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76.1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0.18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0.2%</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FC Index M</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85.06</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85.54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-0.48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-0.6%</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FC Index M 1%</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14866</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14949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-0.6%</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涤纶短纤</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8650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-0.3%</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粘胶短纤</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CY Index C32S</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23275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23240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0.2%</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FCY Index C32S</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24194</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24125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69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0.3%</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坯布（40）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仓单（注册+预报）</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3773</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3720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53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1.4%</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坯布库存（天）</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基差</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118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-110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-93.2%</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CF1705-CF1709</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-395</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-420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-6.0%</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河南-新疆</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490</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077C" w:rsidRPr="0057077C" w:rsidRDefault="0057077C" w:rsidP="0057077C">
            <w:pPr>
              <w:widowControl/>
              <w:jc w:val="center"/>
              <w:rPr>
                <w:rFonts w:ascii="楷体" w:eastAsia="楷体" w:hAnsi="楷体" w:cs="宋体"/>
                <w:color w:val="9C6500"/>
                <w:kern w:val="0"/>
                <w:sz w:val="22"/>
              </w:rPr>
            </w:pPr>
            <w:r w:rsidRPr="0057077C">
              <w:rPr>
                <w:rFonts w:ascii="楷体" w:eastAsia="楷体" w:hAnsi="楷体" w:cs="宋体" w:hint="eastAsia"/>
                <w:color w:val="9C6500"/>
                <w:kern w:val="0"/>
                <w:sz w:val="22"/>
              </w:rPr>
              <w:t>0.0%</w:t>
            </w:r>
          </w:p>
        </w:tc>
      </w:tr>
      <w:tr w:rsidR="0057077C" w:rsidRPr="0057077C" w:rsidTr="0057077C">
        <w:trPr>
          <w:trHeight w:val="54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进口价差（1%关税下）</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1044</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961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8.6%</w:t>
            </w:r>
          </w:p>
        </w:tc>
      </w:tr>
      <w:tr w:rsidR="0057077C" w:rsidRPr="0057077C" w:rsidTr="0057077C">
        <w:trPr>
          <w:trHeight w:val="270"/>
        </w:trPr>
        <w:tc>
          <w:tcPr>
            <w:tcW w:w="1080" w:type="dxa"/>
            <w:vMerge/>
            <w:tcBorders>
              <w:top w:val="nil"/>
              <w:left w:val="single" w:sz="4" w:space="0" w:color="auto"/>
              <w:bottom w:val="single" w:sz="4" w:space="0" w:color="auto"/>
              <w:right w:val="single" w:sz="4" w:space="0" w:color="auto"/>
            </w:tcBorders>
            <w:vAlign w:val="center"/>
            <w:hideMark/>
          </w:tcPr>
          <w:p w:rsidR="0057077C" w:rsidRPr="0057077C" w:rsidRDefault="0057077C" w:rsidP="0057077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棉纱价差（32S）</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-919</w:t>
            </w:r>
          </w:p>
        </w:tc>
        <w:tc>
          <w:tcPr>
            <w:tcW w:w="1080" w:type="dxa"/>
            <w:tcBorders>
              <w:top w:val="nil"/>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-885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077C" w:rsidRPr="0057077C" w:rsidRDefault="0057077C" w:rsidP="0057077C">
            <w:pPr>
              <w:widowControl/>
              <w:jc w:val="center"/>
              <w:rPr>
                <w:rFonts w:ascii="楷体" w:eastAsia="楷体" w:hAnsi="楷体" w:cs="宋体"/>
                <w:color w:val="006100"/>
                <w:kern w:val="0"/>
                <w:sz w:val="22"/>
              </w:rPr>
            </w:pPr>
            <w:r w:rsidRPr="0057077C">
              <w:rPr>
                <w:rFonts w:ascii="楷体" w:eastAsia="楷体" w:hAnsi="楷体" w:cs="宋体" w:hint="eastAsia"/>
                <w:color w:val="006100"/>
                <w:kern w:val="0"/>
                <w:sz w:val="22"/>
              </w:rPr>
              <w:t>-34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077C" w:rsidRPr="0057077C" w:rsidRDefault="0057077C" w:rsidP="0057077C">
            <w:pPr>
              <w:widowControl/>
              <w:jc w:val="center"/>
              <w:rPr>
                <w:rFonts w:ascii="楷体" w:eastAsia="楷体" w:hAnsi="楷体" w:cs="宋体"/>
                <w:color w:val="9C0006"/>
                <w:kern w:val="0"/>
                <w:sz w:val="22"/>
              </w:rPr>
            </w:pPr>
            <w:r w:rsidRPr="0057077C">
              <w:rPr>
                <w:rFonts w:ascii="楷体" w:eastAsia="楷体" w:hAnsi="楷体" w:cs="宋体" w:hint="eastAsia"/>
                <w:color w:val="9C0006"/>
                <w:kern w:val="0"/>
                <w:sz w:val="22"/>
              </w:rPr>
              <w:t>3.8%</w:t>
            </w:r>
          </w:p>
        </w:tc>
      </w:tr>
      <w:tr w:rsidR="0057077C" w:rsidRPr="0057077C" w:rsidTr="0057077C">
        <w:trPr>
          <w:trHeight w:val="42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lastRenderedPageBreak/>
              <w:t>评论</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57077C" w:rsidRPr="0057077C" w:rsidRDefault="0057077C" w:rsidP="0057077C">
            <w:pPr>
              <w:widowControl/>
              <w:jc w:val="center"/>
              <w:rPr>
                <w:rFonts w:ascii="楷体" w:eastAsia="楷体" w:hAnsi="楷体" w:cs="宋体"/>
                <w:color w:val="000000"/>
                <w:kern w:val="0"/>
                <w:sz w:val="22"/>
              </w:rPr>
            </w:pPr>
            <w:r w:rsidRPr="0057077C">
              <w:rPr>
                <w:rFonts w:ascii="楷体" w:eastAsia="楷体" w:hAnsi="楷体" w:cs="宋体" w:hint="eastAsia"/>
                <w:color w:val="000000"/>
                <w:kern w:val="0"/>
                <w:sz w:val="22"/>
              </w:rPr>
              <w:t>隔夜美棉高位震荡。临近抛储，上游轧花厂、贸易商运输棉花出疆力度加大，企业对抛储后棉花价格下跌有较大担忧，销售意愿较大，而上游纺织企业因对储备棉抱有较大的希冀，目前采购多随用随买，不愿多囤货。据中国棉花协会物流分会对全国18个省市的196家仓储会员单位库存调查，1月底全国商品棉周转库存总量约248.11万吨，较上月减少27.27万吨，以此推测到抛储前商品棉周转库存仍在200万吨左右，对市场形成较大的压力。近几日下游补库的纺织企业仍有采购，但囤货心理不足，目前离储备棉轮出剩下一周时间，预计抛出细则本周将公布，许多纺织企业都静待国储棉抛售，而有效预报仓单量较大也显示出来棉花持有企业在抛储前的担忧心理。但是越是临近抛储，越是临近抛储公告细节公布，市场的变数就越大，因此建议抛储政策公布前谨慎操作。不过今年中国棉花处于去库存周期，加上农业供给侧改革概念推动，做多远月并持有也是一种策略。</w:t>
            </w:r>
          </w:p>
        </w:tc>
      </w:tr>
      <w:tr w:rsidR="0057077C" w:rsidRPr="0057077C" w:rsidTr="0057077C">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7077C" w:rsidRPr="0057077C" w:rsidRDefault="0057077C" w:rsidP="0057077C">
            <w:pPr>
              <w:widowControl/>
              <w:jc w:val="center"/>
              <w:rPr>
                <w:rFonts w:ascii="楷体" w:eastAsia="楷体" w:hAnsi="楷体" w:cs="宋体"/>
                <w:color w:val="000000"/>
                <w:kern w:val="0"/>
                <w:sz w:val="24"/>
                <w:szCs w:val="24"/>
              </w:rPr>
            </w:pPr>
            <w:r w:rsidRPr="0057077C">
              <w:rPr>
                <w:rFonts w:ascii="楷体" w:eastAsia="楷体" w:hAnsi="楷体" w:cs="宋体" w:hint="eastAsia"/>
                <w:color w:val="000000"/>
                <w:kern w:val="0"/>
                <w:sz w:val="24"/>
                <w:szCs w:val="24"/>
              </w:rPr>
              <w:t>免责声明</w:t>
            </w:r>
          </w:p>
        </w:tc>
        <w:tc>
          <w:tcPr>
            <w:tcW w:w="6980" w:type="dxa"/>
            <w:gridSpan w:val="5"/>
            <w:tcBorders>
              <w:top w:val="single" w:sz="4" w:space="0" w:color="auto"/>
              <w:left w:val="nil"/>
              <w:bottom w:val="single" w:sz="4" w:space="0" w:color="auto"/>
              <w:right w:val="single" w:sz="4" w:space="0" w:color="auto"/>
            </w:tcBorders>
            <w:shd w:val="clear" w:color="000000" w:fill="93CDDD"/>
            <w:vAlign w:val="center"/>
            <w:hideMark/>
          </w:tcPr>
          <w:p w:rsidR="0057077C" w:rsidRPr="0057077C" w:rsidRDefault="0057077C" w:rsidP="0057077C">
            <w:pPr>
              <w:widowControl/>
              <w:jc w:val="center"/>
              <w:rPr>
                <w:rFonts w:ascii="楷体" w:eastAsia="楷体" w:hAnsi="楷体" w:cs="宋体"/>
                <w:color w:val="000000"/>
                <w:kern w:val="0"/>
                <w:sz w:val="24"/>
                <w:szCs w:val="24"/>
              </w:rPr>
            </w:pPr>
            <w:r w:rsidRPr="0057077C">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7077C" w:rsidRDefault="00B31030"/>
    <w:sectPr w:rsidR="00B31030" w:rsidRPr="0057077C"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58E" w:rsidRDefault="007B558E" w:rsidP="001C3759">
      <w:r>
        <w:separator/>
      </w:r>
    </w:p>
  </w:endnote>
  <w:endnote w:type="continuationSeparator" w:id="1">
    <w:p w:rsidR="007B558E" w:rsidRDefault="007B558E"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58E" w:rsidRDefault="007B558E" w:rsidP="001C3759">
      <w:r>
        <w:separator/>
      </w:r>
    </w:p>
  </w:footnote>
  <w:footnote w:type="continuationSeparator" w:id="1">
    <w:p w:rsidR="007B558E" w:rsidRDefault="007B558E"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50CBF"/>
    <w:rsid w:val="000565EF"/>
    <w:rsid w:val="000D4607"/>
    <w:rsid w:val="00100B44"/>
    <w:rsid w:val="00160737"/>
    <w:rsid w:val="00183EE2"/>
    <w:rsid w:val="001C3759"/>
    <w:rsid w:val="001D5478"/>
    <w:rsid w:val="001F5E0C"/>
    <w:rsid w:val="00217DD4"/>
    <w:rsid w:val="00265CB4"/>
    <w:rsid w:val="00275EB4"/>
    <w:rsid w:val="00282675"/>
    <w:rsid w:val="00293C97"/>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077C"/>
    <w:rsid w:val="00573E76"/>
    <w:rsid w:val="005A368F"/>
    <w:rsid w:val="005A51B6"/>
    <w:rsid w:val="005F1F36"/>
    <w:rsid w:val="00636157"/>
    <w:rsid w:val="00670CBD"/>
    <w:rsid w:val="00680647"/>
    <w:rsid w:val="006B2662"/>
    <w:rsid w:val="006F7567"/>
    <w:rsid w:val="00724518"/>
    <w:rsid w:val="00725FE9"/>
    <w:rsid w:val="00745490"/>
    <w:rsid w:val="007724B0"/>
    <w:rsid w:val="00784DB4"/>
    <w:rsid w:val="007A2649"/>
    <w:rsid w:val="007A7391"/>
    <w:rsid w:val="007A7DE5"/>
    <w:rsid w:val="007B1AF3"/>
    <w:rsid w:val="007B558E"/>
    <w:rsid w:val="007F321A"/>
    <w:rsid w:val="00806D5D"/>
    <w:rsid w:val="00827519"/>
    <w:rsid w:val="0088038D"/>
    <w:rsid w:val="008A5A6D"/>
    <w:rsid w:val="008B6AA6"/>
    <w:rsid w:val="008C13F0"/>
    <w:rsid w:val="008D64D8"/>
    <w:rsid w:val="009035EC"/>
    <w:rsid w:val="0091579E"/>
    <w:rsid w:val="00920E84"/>
    <w:rsid w:val="00961DA0"/>
    <w:rsid w:val="00964F6A"/>
    <w:rsid w:val="009909CC"/>
    <w:rsid w:val="00A628DA"/>
    <w:rsid w:val="00AA56A2"/>
    <w:rsid w:val="00AA6E33"/>
    <w:rsid w:val="00AC6311"/>
    <w:rsid w:val="00AF68A3"/>
    <w:rsid w:val="00B31030"/>
    <w:rsid w:val="00B714A6"/>
    <w:rsid w:val="00C02E4D"/>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42</cp:revision>
  <dcterms:created xsi:type="dcterms:W3CDTF">2016-12-30T01:12:00Z</dcterms:created>
  <dcterms:modified xsi:type="dcterms:W3CDTF">2017-03-01T01:02:00Z</dcterms:modified>
</cp:coreProperties>
</file>