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B57A8">
      <w:pPr>
        <w:pStyle w:val="3"/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>关于</w:t>
      </w:r>
      <w:bookmarkStart w:id="0" w:name="_Hlk185258067"/>
      <w:r>
        <w:rPr>
          <w:rFonts w:hint="eastAsia"/>
          <w:shd w:val="clear" w:color="auto" w:fill="FFFFFF"/>
        </w:rPr>
        <w:t>多晶硅期货、多晶硅期权</w:t>
      </w:r>
      <w:bookmarkEnd w:id="0"/>
      <w:r>
        <w:rPr>
          <w:rFonts w:hint="eastAsia"/>
          <w:shd w:val="clear" w:color="auto" w:fill="FFFFFF"/>
        </w:rPr>
        <w:t>上市交易有关事项的通知</w:t>
      </w:r>
    </w:p>
    <w:p w14:paraId="78CEC096">
      <w:pPr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  <w:t>尊敬的投资者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：</w:t>
      </w:r>
    </w:p>
    <w:p w14:paraId="2EBF44BC"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根据广州期货交易所通知安排，现就</w:t>
      </w: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多晶硅期货、多晶硅期权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上市交易有关事项通知如下：</w:t>
      </w:r>
    </w:p>
    <w:p w14:paraId="7ABCBF14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一、上市交易时间</w:t>
      </w:r>
    </w:p>
    <w:p w14:paraId="35FB59DA">
      <w:pPr>
        <w:spacing w:line="360" w:lineRule="auto"/>
        <w:ind w:firstLine="562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多晶硅期货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自2024年12月26日（星期四）起上市交易，交易时间为9:00～10:15，10:30～11:30和13:30～15:00。暂不开展夜盘交易。</w:t>
      </w:r>
    </w:p>
    <w:p w14:paraId="037220B8">
      <w:pPr>
        <w:spacing w:line="360" w:lineRule="auto"/>
        <w:ind w:firstLine="562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多晶硅期权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自2024年12月27日（星期五）起上市交易，交易时间为9:00～10:15，10:30～11:30和13:30～15:00。暂不开展夜盘交易。</w:t>
      </w:r>
    </w:p>
    <w:p w14:paraId="16A3E0A1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二、上市交易合约</w:t>
      </w:r>
    </w:p>
    <w:p w14:paraId="27ED3B3C">
      <w:pPr>
        <w:spacing w:line="360" w:lineRule="auto"/>
        <w:ind w:firstLine="562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多晶硅期货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合约为PS2506、PS2507、PS2508、PS2509、PS2510、PS2511和PS2512；</w:t>
      </w:r>
    </w:p>
    <w:p w14:paraId="36E44E44">
      <w:pPr>
        <w:spacing w:line="360" w:lineRule="auto"/>
        <w:ind w:firstLine="562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多晶硅期权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合约为标的月份PS2506、PS2507、PS2508、PS2509、PS2510、PS2511和PS2512期货合约为标的的多晶硅期权合约。</w:t>
      </w:r>
    </w:p>
    <w:p w14:paraId="2F66D434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三、交易保证金和涨跌停板</w:t>
      </w:r>
    </w:p>
    <w:p w14:paraId="16E79B18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交易所标准：</w:t>
      </w: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多晶硅期货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合约交易保证金标准为9%，涨跌停板幅度为±7%；首日涨跌停板幅度为其2倍。</w:t>
      </w:r>
    </w:p>
    <w:p w14:paraId="4E35B724">
      <w:pPr>
        <w:spacing w:line="360" w:lineRule="auto"/>
        <w:ind w:firstLine="562" w:firstLineChars="200"/>
        <w:rPr>
          <w:rFonts w:cs="Arial" w:asciiTheme="minorEastAsia" w:hAnsiTheme="minorEastAsia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212121"/>
          <w:sz w:val="28"/>
          <w:szCs w:val="28"/>
          <w:shd w:val="clear" w:color="auto" w:fill="FFFFFF"/>
        </w:rPr>
        <w:t>公司默认标准：</w:t>
      </w: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多晶硅期货</w:t>
      </w:r>
      <w:r>
        <w:rPr>
          <w:rFonts w:hint="eastAsia" w:cs="Arial" w:asciiTheme="minorEastAsia" w:hAnsiTheme="minorEastAsia"/>
          <w:b/>
          <w:bCs/>
          <w:color w:val="212121"/>
          <w:sz w:val="28"/>
          <w:szCs w:val="28"/>
          <w:shd w:val="clear" w:color="auto" w:fill="FFFFFF"/>
        </w:rPr>
        <w:t>合约交易保证金标准为12%。</w:t>
      </w:r>
    </w:p>
    <w:p w14:paraId="7DBFCE98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四、交易手续费</w:t>
      </w:r>
    </w:p>
    <w:p w14:paraId="42659A59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交易所标准：</w:t>
      </w: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多晶硅期货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为成交金额的万分之一；</w:t>
      </w: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多晶硅期权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为2元/手，行权（履约）手续费为2元/手。</w:t>
      </w:r>
    </w:p>
    <w:p w14:paraId="4EDF2F5C">
      <w:pPr>
        <w:spacing w:line="360" w:lineRule="auto"/>
        <w:ind w:firstLine="562" w:firstLineChars="200"/>
        <w:rPr>
          <w:rFonts w:cs="Arial" w:asciiTheme="minorEastAsia" w:hAnsiTheme="minorEastAsia"/>
          <w:b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212121"/>
          <w:sz w:val="28"/>
          <w:szCs w:val="28"/>
          <w:shd w:val="clear" w:color="auto" w:fill="FFFFFF"/>
        </w:rPr>
        <w:t>公司默认标准：</w:t>
      </w: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多晶硅期货</w:t>
      </w:r>
      <w:r>
        <w:rPr>
          <w:rFonts w:hint="eastAsia" w:cs="Arial" w:asciiTheme="minorEastAsia" w:hAnsiTheme="minorEastAsia"/>
          <w:b/>
          <w:color w:val="212121"/>
          <w:sz w:val="28"/>
          <w:szCs w:val="28"/>
          <w:shd w:val="clear" w:color="auto" w:fill="FFFFFF"/>
        </w:rPr>
        <w:t>为成交金额的万分之五；</w:t>
      </w: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多晶硅期权</w:t>
      </w:r>
      <w:r>
        <w:rPr>
          <w:rFonts w:hint="eastAsia" w:cs="Arial" w:asciiTheme="minorEastAsia" w:hAnsiTheme="minorEastAsia"/>
          <w:b/>
          <w:color w:val="212121"/>
          <w:sz w:val="28"/>
          <w:szCs w:val="28"/>
          <w:shd w:val="clear" w:color="auto" w:fill="FFFFFF"/>
        </w:rPr>
        <w:t>为10元/手，行权（履约）手续费为10元/手。</w:t>
      </w:r>
    </w:p>
    <w:p w14:paraId="749EE503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五、申报费</w:t>
      </w:r>
    </w:p>
    <w:p w14:paraId="40011ABC">
      <w:pPr>
        <w:spacing w:line="360" w:lineRule="auto"/>
        <w:ind w:firstLine="562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多晶硅期货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按日、按合约收取申报费，收费标准如下：</w:t>
      </w:r>
    </w:p>
    <w:p w14:paraId="056B778A">
      <w:pPr>
        <w:spacing w:line="360" w:lineRule="auto"/>
        <w:ind w:firstLine="560" w:firstLineChars="200"/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合约申报费＝Σ（客户或非期货公司会员当日在该合约上各档位的信息量×该档位收费标准）</w:t>
      </w:r>
    </w:p>
    <w:tbl>
      <w:tblPr>
        <w:tblStyle w:val="5"/>
        <w:tblW w:w="97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1"/>
        <w:gridCol w:w="3124"/>
        <w:gridCol w:w="2007"/>
        <w:gridCol w:w="2023"/>
      </w:tblGrid>
      <w:tr w14:paraId="15ABCA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D5A96D">
            <w:pPr>
              <w:widowControl/>
              <w:spacing w:before="100" w:beforeAutospacing="1" w:after="100" w:afterAutospacing="1"/>
              <w:jc w:val="center"/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品种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D1683A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信息量（笔）</w:t>
            </w:r>
          </w:p>
        </w:tc>
        <w:tc>
          <w:tcPr>
            <w:tcW w:w="1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986AA9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OTR≤2</w:t>
            </w:r>
          </w:p>
        </w:tc>
        <w:tc>
          <w:tcPr>
            <w:tcW w:w="1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40BD51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OTR&gt;2</w:t>
            </w:r>
          </w:p>
        </w:tc>
      </w:tr>
      <w:tr w14:paraId="6481F0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25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7A125F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多晶硅期货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1FB7A7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信息量≤4000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D5664C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0元/笔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C24947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0元/笔</w:t>
            </w:r>
          </w:p>
        </w:tc>
      </w:tr>
      <w:tr w14:paraId="3D7F12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E8B256">
            <w:pPr>
              <w:widowControl/>
              <w:jc w:val="left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0E76F7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4000﹤信息量≤8000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F6C6E1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0元/笔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38AE2E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1元/笔</w:t>
            </w:r>
          </w:p>
        </w:tc>
      </w:tr>
      <w:tr w14:paraId="0055B8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E52404">
            <w:pPr>
              <w:widowControl/>
              <w:jc w:val="left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A3815F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信息量&gt;8000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A70422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2元/笔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567866">
            <w:pPr>
              <w:widowControl/>
              <w:spacing w:before="100" w:beforeAutospacing="1" w:after="100" w:afterAutospacing="1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5元/笔</w:t>
            </w:r>
          </w:p>
        </w:tc>
      </w:tr>
    </w:tbl>
    <w:p w14:paraId="738279C6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信息量＝下单、撤单、询价等交易指令笔数之和。</w:t>
      </w:r>
    </w:p>
    <w:p w14:paraId="266D15C1">
      <w:pPr>
        <w:spacing w:line="360" w:lineRule="auto"/>
        <w:ind w:firstLine="560" w:firstLineChars="200"/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报单成交比（OTR）＝信息量/有成交下单笔数-1。若客户或非期货公司会员某日在某合约上有信息量但无成交，则当日在该合约上其报单成交比（OTR）视为大于2。</w:t>
      </w:r>
    </w:p>
    <w:p w14:paraId="5552F990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六、交易限额</w:t>
      </w:r>
    </w:p>
    <w:p w14:paraId="1A8139BB">
      <w:pPr>
        <w:spacing w:line="360" w:lineRule="auto"/>
        <w:ind w:firstLine="562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多晶硅期货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合约的交易指令每次最大下单数量为1000 手。</w:t>
      </w: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多晶硅期权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合约的交易指令每次最大下单数量为100手。</w:t>
      </w:r>
    </w:p>
    <w:p w14:paraId="6A90718E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七、持仓限额</w:t>
      </w:r>
    </w:p>
    <w:p w14:paraId="2F4662CC">
      <w:pPr>
        <w:spacing w:line="360" w:lineRule="auto"/>
        <w:ind w:firstLine="562" w:firstLineChars="200"/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多晶硅期货</w:t>
      </w: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5250"/>
      </w:tblGrid>
      <w:tr w14:paraId="7178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248" w:type="dxa"/>
            <w:vAlign w:val="center"/>
          </w:tcPr>
          <w:p w14:paraId="14967589">
            <w:pPr>
              <w:spacing w:line="360" w:lineRule="auto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交易时间段</w:t>
            </w:r>
          </w:p>
        </w:tc>
        <w:tc>
          <w:tcPr>
            <w:tcW w:w="5250" w:type="dxa"/>
            <w:noWrap/>
            <w:vAlign w:val="center"/>
          </w:tcPr>
          <w:p w14:paraId="6B27D08C">
            <w:pPr>
              <w:spacing w:line="360" w:lineRule="auto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客户的最大单边持仓量（手）</w:t>
            </w:r>
          </w:p>
        </w:tc>
      </w:tr>
      <w:tr w14:paraId="2111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48" w:type="dxa"/>
            <w:vMerge w:val="restart"/>
            <w:vAlign w:val="center"/>
          </w:tcPr>
          <w:p w14:paraId="41472BD4">
            <w:pPr>
              <w:spacing w:line="360" w:lineRule="auto"/>
              <w:jc w:val="left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一般月份</w:t>
            </w:r>
          </w:p>
        </w:tc>
        <w:tc>
          <w:tcPr>
            <w:tcW w:w="5250" w:type="dxa"/>
            <w:vAlign w:val="center"/>
          </w:tcPr>
          <w:p w14:paraId="79969651">
            <w:pPr>
              <w:spacing w:line="360" w:lineRule="auto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单边持仓量＞ 30,000</w:t>
            </w:r>
            <w:r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：单边持仓量×10%</w:t>
            </w:r>
          </w:p>
        </w:tc>
      </w:tr>
      <w:tr w14:paraId="4C07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48" w:type="dxa"/>
            <w:vMerge w:val="continue"/>
            <w:vAlign w:val="center"/>
          </w:tcPr>
          <w:p w14:paraId="3889CF81">
            <w:pPr>
              <w:spacing w:line="360" w:lineRule="auto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50" w:type="dxa"/>
            <w:vAlign w:val="center"/>
          </w:tcPr>
          <w:p w14:paraId="19EA4934">
            <w:pPr>
              <w:spacing w:line="360" w:lineRule="auto"/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单边持仓量≤</w:t>
            </w:r>
            <w:r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30,000</w:t>
            </w:r>
            <w:r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：3000</w:t>
            </w:r>
          </w:p>
        </w:tc>
      </w:tr>
      <w:tr w14:paraId="741C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248" w:type="dxa"/>
            <w:vAlign w:val="center"/>
          </w:tcPr>
          <w:p w14:paraId="38CF1923">
            <w:pPr>
              <w:spacing w:line="360" w:lineRule="auto"/>
              <w:jc w:val="left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交割月份前1个月第10个交易日起</w:t>
            </w:r>
          </w:p>
        </w:tc>
        <w:tc>
          <w:tcPr>
            <w:tcW w:w="5250" w:type="dxa"/>
            <w:vAlign w:val="center"/>
          </w:tcPr>
          <w:p w14:paraId="472F13F0">
            <w:pPr>
              <w:spacing w:line="360" w:lineRule="auto"/>
              <w:jc w:val="center"/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900</w:t>
            </w:r>
          </w:p>
        </w:tc>
      </w:tr>
      <w:tr w14:paraId="67EA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248" w:type="dxa"/>
            <w:vAlign w:val="center"/>
          </w:tcPr>
          <w:p w14:paraId="4DF6F6B4">
            <w:pPr>
              <w:spacing w:line="360" w:lineRule="auto"/>
              <w:jc w:val="center"/>
              <w:rPr>
                <w:rFonts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交割月份</w:t>
            </w:r>
          </w:p>
        </w:tc>
        <w:tc>
          <w:tcPr>
            <w:tcW w:w="5250" w:type="dxa"/>
            <w:vAlign w:val="center"/>
          </w:tcPr>
          <w:p w14:paraId="744DCE28">
            <w:pPr>
              <w:spacing w:line="360" w:lineRule="auto"/>
              <w:jc w:val="center"/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212121"/>
                <w:sz w:val="28"/>
                <w:szCs w:val="28"/>
                <w:shd w:val="clear" w:color="auto" w:fill="FFFFFF"/>
              </w:rPr>
              <w:t>300</w:t>
            </w:r>
          </w:p>
        </w:tc>
      </w:tr>
    </w:tbl>
    <w:p w14:paraId="6F9BBA76">
      <w:pPr>
        <w:spacing w:line="360" w:lineRule="auto"/>
        <w:ind w:firstLine="562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多晶硅期权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合约投机持仓限额为3000手。</w:t>
      </w:r>
    </w:p>
    <w:p w14:paraId="40C871E5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八、合约询价</w:t>
      </w:r>
    </w:p>
    <w:p w14:paraId="0C601C30">
      <w:pPr>
        <w:spacing w:line="360" w:lineRule="auto"/>
        <w:ind w:firstLine="562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多晶硅期权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询价请求应当指明期权合约代码，对同一期权合约的询价时间间隔不应低于60秒。同一交易编码在一个期权品种上每日询价次数不能超过500次。</w:t>
      </w:r>
    </w:p>
    <w:p w14:paraId="444D4471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九、交易权限开通</w:t>
      </w:r>
    </w:p>
    <w:p w14:paraId="63477B64">
      <w:pPr>
        <w:spacing w:line="360" w:lineRule="auto"/>
        <w:ind w:firstLine="562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多晶硅期权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为境内特定品种，产品服务等级为R4。客户开通</w:t>
      </w: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多晶硅期权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交易权限，应当满足《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  <w:lang w:eastAsia="zh-CN"/>
        </w:rPr>
        <w:t>广州期货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交易所期货交易者适当性管理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  <w:lang w:eastAsia="zh-CN"/>
        </w:rPr>
        <w:t>办法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》规定的适当性管理标准。其中，可用资金要求应当满足“申请开立交易编码或者开通交易权限前连续5个交易日保证金账户可用资金余额均不低于人民币10万元或者等值外币”。</w:t>
      </w:r>
    </w:p>
    <w:p w14:paraId="48558B16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2024年1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月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日起新客户可通过线上或线下的方式申请开通</w:t>
      </w: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多晶硅期权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交易权限。</w:t>
      </w:r>
      <w:bookmarkStart w:id="1" w:name="_GoBack"/>
      <w:bookmarkEnd w:id="1"/>
    </w:p>
    <w:p w14:paraId="14C5AA14">
      <w:pPr>
        <w:spacing w:line="360" w:lineRule="auto"/>
        <w:ind w:firstLine="560" w:firstLineChars="200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截止2024年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月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日，存量非销户客户已有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  <w:lang w:eastAsia="zh-CN"/>
        </w:rPr>
        <w:t>广州期货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交易所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商品期权交易权限且和R4级产品匹配的(专业投资者或C4及以上级别的普通投资者)可自动获得</w:t>
      </w:r>
      <w:r>
        <w:rPr>
          <w:rFonts w:hint="eastAsia" w:asciiTheme="minorEastAsia" w:hAnsiTheme="minorEastAsia"/>
          <w:b/>
          <w:bCs/>
          <w:color w:val="000000"/>
          <w:sz w:val="28"/>
          <w:szCs w:val="28"/>
          <w:shd w:val="clear" w:color="auto" w:fill="FFFFFF"/>
        </w:rPr>
        <w:t>多晶硅期权</w:t>
      </w: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交易权限。</w:t>
      </w:r>
    </w:p>
    <w:p w14:paraId="7E1A87FF">
      <w:pPr>
        <w:ind w:firstLine="555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十、其他注意事项</w:t>
      </w:r>
    </w:p>
    <w:p w14:paraId="5AE02D75">
      <w:pPr>
        <w:ind w:firstLine="555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新品种上市，市场不确定性因素较多，请您谨慎交易，防范风险。</w:t>
      </w:r>
    </w:p>
    <w:p w14:paraId="416DBFC5">
      <w:pPr>
        <w:ind w:firstLine="555"/>
        <w:rPr>
          <w:rFonts w:cs="Arial" w:asciiTheme="minorEastAsia" w:hAnsiTheme="minorEastAsia"/>
          <w:color w:val="212121"/>
          <w:sz w:val="28"/>
          <w:szCs w:val="28"/>
          <w:shd w:val="clear" w:color="auto" w:fill="FFFFFF"/>
        </w:rPr>
      </w:pPr>
    </w:p>
    <w:p w14:paraId="2AB1B6FB">
      <w:pPr>
        <w:ind w:firstLine="555"/>
        <w:jc w:val="right"/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212121"/>
          <w:sz w:val="28"/>
          <w:szCs w:val="28"/>
          <w:shd w:val="clear" w:color="auto" w:fill="FFFFFF"/>
        </w:rPr>
        <w:t>通惠期货有限公司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4Y2RkZWE3ZGRjMzhhOGNmYjQ3MmUzZjYwZjRlZDIifQ=="/>
  </w:docVars>
  <w:rsids>
    <w:rsidRoot w:val="004D583C"/>
    <w:rsid w:val="00052009"/>
    <w:rsid w:val="00151ADB"/>
    <w:rsid w:val="001B4830"/>
    <w:rsid w:val="00274533"/>
    <w:rsid w:val="003B2263"/>
    <w:rsid w:val="003B6338"/>
    <w:rsid w:val="00453EED"/>
    <w:rsid w:val="004666FD"/>
    <w:rsid w:val="004A2BAE"/>
    <w:rsid w:val="004D583C"/>
    <w:rsid w:val="00593502"/>
    <w:rsid w:val="006010DD"/>
    <w:rsid w:val="00626404"/>
    <w:rsid w:val="00674FDB"/>
    <w:rsid w:val="006C790B"/>
    <w:rsid w:val="007809C1"/>
    <w:rsid w:val="007A343B"/>
    <w:rsid w:val="009267D4"/>
    <w:rsid w:val="009A242E"/>
    <w:rsid w:val="009E0A31"/>
    <w:rsid w:val="009F051A"/>
    <w:rsid w:val="00A3288A"/>
    <w:rsid w:val="00AE37FA"/>
    <w:rsid w:val="00B30D99"/>
    <w:rsid w:val="00BE1DA3"/>
    <w:rsid w:val="00BE5355"/>
    <w:rsid w:val="00CC004D"/>
    <w:rsid w:val="00FA265C"/>
    <w:rsid w:val="00FD37C8"/>
    <w:rsid w:val="00FE12B8"/>
    <w:rsid w:val="00FF503C"/>
    <w:rsid w:val="4B1D18AC"/>
    <w:rsid w:val="7BB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1179</Words>
  <Characters>1380</Characters>
  <Lines>10</Lines>
  <Paragraphs>2</Paragraphs>
  <TotalTime>3</TotalTime>
  <ScaleCrop>false</ScaleCrop>
  <LinksUpToDate>false</LinksUpToDate>
  <CharactersWithSpaces>1382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2024-12-16T08:36:00Z</dcterms:created>
  <dc:creator>Windows 用户</dc:creator>
  <cp:lastModifiedBy>李若男</cp:lastModifiedBy>
  <dcterms:modified xsi:type="dcterms:W3CDTF">2024-12-16T08:45:30Z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6E14E2CB0D0044B2853A634DC10E49C6_12</vt:lpwstr>
  </property>
</Properties>
</file>